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E4A80" w14:textId="77777777" w:rsidR="00DB64D0" w:rsidRDefault="00DB64D0" w:rsidP="002F6D0A">
      <w:pPr>
        <w:jc w:val="center"/>
        <w:rPr>
          <w:b/>
          <w:bCs/>
          <w:u w:val="single"/>
        </w:rPr>
      </w:pPr>
    </w:p>
    <w:p w14:paraId="522A4FCE" w14:textId="59F14198" w:rsidR="002F6D0A" w:rsidRPr="002F6D0A" w:rsidRDefault="002F6D0A" w:rsidP="002F6D0A">
      <w:pPr>
        <w:jc w:val="center"/>
        <w:rPr>
          <w:u w:val="single"/>
        </w:rPr>
      </w:pPr>
      <w:r w:rsidRPr="002F6D0A">
        <w:rPr>
          <w:b/>
          <w:bCs/>
          <w:u w:val="single"/>
        </w:rPr>
        <w:t>Drug &amp; Alcohol Testing Policy</w:t>
      </w:r>
    </w:p>
    <w:p w14:paraId="3C44727E" w14:textId="3E5C9AE8" w:rsidR="002F6D0A" w:rsidRPr="002F6D0A" w:rsidRDefault="002F6D0A" w:rsidP="002F6D0A">
      <w:r w:rsidRPr="002F6D0A">
        <w:rPr>
          <w:b/>
          <w:bCs/>
        </w:rPr>
        <w:t xml:space="preserve">General principle </w:t>
      </w:r>
    </w:p>
    <w:p w14:paraId="28E931C1" w14:textId="0FCD36CF" w:rsidR="002F6D0A" w:rsidRPr="002F6D0A" w:rsidRDefault="00F02BA1" w:rsidP="002F6D0A">
      <w:r>
        <w:t xml:space="preserve">ATA Sameday </w:t>
      </w:r>
      <w:proofErr w:type="gramStart"/>
      <w:r>
        <w:t xml:space="preserve">LTD </w:t>
      </w:r>
      <w:r w:rsidR="002F6D0A" w:rsidRPr="002F6D0A">
        <w:t xml:space="preserve"> continually</w:t>
      </w:r>
      <w:proofErr w:type="gramEnd"/>
      <w:r w:rsidR="002F6D0A" w:rsidRPr="002F6D0A">
        <w:t xml:space="preserve"> strives to conduct our business activities in a way which will achieve the highest possible standard of health and safety for our employees, contractors, clients and members of the public. As the core of our business is based around </w:t>
      </w:r>
      <w:proofErr w:type="gramStart"/>
      <w:r w:rsidR="002F6D0A" w:rsidRPr="002F6D0A">
        <w:t>road based</w:t>
      </w:r>
      <w:proofErr w:type="gramEnd"/>
      <w:r w:rsidR="002F6D0A" w:rsidRPr="002F6D0A">
        <w:t xml:space="preserve"> </w:t>
      </w:r>
      <w:r w:rsidR="00DB64D0" w:rsidRPr="002F6D0A">
        <w:t>transport,</w:t>
      </w:r>
      <w:r w:rsidR="002F6D0A" w:rsidRPr="002F6D0A">
        <w:t xml:space="preserve"> we recognise that we can contribute to a safe, healthy and productive work environment by adopting a zero tolerance policy on the use of alcohol &amp; illegal drugs in the workplace, preventing drug and alcohol problems, by raising awareness, by identifying problems at the earliest stage and by offering support to those who have a problem. </w:t>
      </w:r>
    </w:p>
    <w:p w14:paraId="152674C2" w14:textId="6A145F49" w:rsidR="002F6D0A" w:rsidRPr="002F6D0A" w:rsidRDefault="002F6D0A" w:rsidP="002F6D0A">
      <w:r w:rsidRPr="002F6D0A">
        <w:t xml:space="preserve">Our policy is designed to ensure that no persons under the influence of illegal drugs or alcohol does supply or render services to </w:t>
      </w:r>
      <w:r w:rsidR="00F02BA1">
        <w:t xml:space="preserve">ATA Sameday </w:t>
      </w:r>
      <w:proofErr w:type="gramStart"/>
      <w:r w:rsidR="00F02BA1">
        <w:t xml:space="preserve">LTD </w:t>
      </w:r>
      <w:r w:rsidRPr="002F6D0A">
        <w:t xml:space="preserve"> nor</w:t>
      </w:r>
      <w:proofErr w:type="gramEnd"/>
      <w:r w:rsidRPr="002F6D0A">
        <w:t xml:space="preserve"> operate a vehicle on behalf of </w:t>
      </w:r>
      <w:r w:rsidR="00F02BA1">
        <w:t xml:space="preserve">ATA Sameday LTD </w:t>
      </w:r>
      <w:r w:rsidRPr="002F6D0A">
        <w:t xml:space="preserve">. </w:t>
      </w:r>
    </w:p>
    <w:p w14:paraId="7F5A006D" w14:textId="5A29AD20" w:rsidR="002F6D0A" w:rsidRPr="002F6D0A" w:rsidRDefault="002F6D0A" w:rsidP="002F6D0A">
      <w:r w:rsidRPr="002F6D0A">
        <w:rPr>
          <w:b/>
          <w:bCs/>
        </w:rPr>
        <w:t xml:space="preserve">Who is covered by this policy? </w:t>
      </w:r>
    </w:p>
    <w:p w14:paraId="3ACF6084" w14:textId="77777777" w:rsidR="002F6D0A" w:rsidRPr="002F6D0A" w:rsidRDefault="002F6D0A" w:rsidP="002F6D0A">
      <w:r w:rsidRPr="002F6D0A">
        <w:t xml:space="preserve">This policy applies to all of our employees as well as subcontractors (including agency and self-employed), consultants and employees of other organisations when working on our sites and premises or the sites and premises of our clients on our behalf. </w:t>
      </w:r>
    </w:p>
    <w:p w14:paraId="40B678CD" w14:textId="745E3339" w:rsidR="002F6D0A" w:rsidRPr="002F6D0A" w:rsidRDefault="002F6D0A" w:rsidP="002F6D0A">
      <w:r w:rsidRPr="002F6D0A">
        <w:rPr>
          <w:b/>
          <w:bCs/>
        </w:rPr>
        <w:t xml:space="preserve">Employee/Contractor On-Boarding Screening </w:t>
      </w:r>
    </w:p>
    <w:p w14:paraId="334529F0" w14:textId="35125816" w:rsidR="002F6D0A" w:rsidRPr="002F6D0A" w:rsidRDefault="002F6D0A" w:rsidP="002F6D0A">
      <w:r w:rsidRPr="002F6D0A">
        <w:t xml:space="preserve">Before any individual may supply or render any services to </w:t>
      </w:r>
      <w:r w:rsidR="00F02BA1">
        <w:t xml:space="preserve">ATA Sameday </w:t>
      </w:r>
      <w:proofErr w:type="gramStart"/>
      <w:r w:rsidR="00F02BA1">
        <w:t xml:space="preserve">LTD </w:t>
      </w:r>
      <w:r w:rsidRPr="002F6D0A">
        <w:t xml:space="preserve"> in</w:t>
      </w:r>
      <w:proofErr w:type="gramEnd"/>
      <w:r w:rsidRPr="002F6D0A">
        <w:t xml:space="preserve"> any context either as employee, subcontractor or personnel of a subcontractor a Drug &amp; Alcohol screening test must be performed and a negative sample provided. </w:t>
      </w:r>
    </w:p>
    <w:p w14:paraId="7F66B161" w14:textId="6F916C09" w:rsidR="002F6D0A" w:rsidRPr="002F6D0A" w:rsidRDefault="002F6D0A" w:rsidP="002F6D0A">
      <w:r w:rsidRPr="002F6D0A">
        <w:rPr>
          <w:b/>
          <w:bCs/>
        </w:rPr>
        <w:t xml:space="preserve">Random Screening </w:t>
      </w:r>
    </w:p>
    <w:p w14:paraId="21AFC43C" w14:textId="4F0C67C4" w:rsidR="002F6D0A" w:rsidRPr="002F6D0A" w:rsidRDefault="002F6D0A" w:rsidP="002F6D0A">
      <w:r w:rsidRPr="002F6D0A">
        <w:t xml:space="preserve">Whilst contracting to or under the employ of </w:t>
      </w:r>
      <w:r w:rsidR="00F02BA1">
        <w:t xml:space="preserve">ATA Sameday </w:t>
      </w:r>
      <w:proofErr w:type="gramStart"/>
      <w:r w:rsidR="00F02BA1">
        <w:t xml:space="preserve">LTD </w:t>
      </w:r>
      <w:r w:rsidRPr="002F6D0A">
        <w:t xml:space="preserve"> there</w:t>
      </w:r>
      <w:proofErr w:type="gramEnd"/>
      <w:r w:rsidRPr="002F6D0A">
        <w:t xml:space="preserve"> shall be a continued requirement for each individual to agree to undertake random drug &amp; alcohol screening tests for the purpose of verifying compliance with this policy when requested by either a representative of </w:t>
      </w:r>
      <w:r w:rsidR="00F02BA1">
        <w:t xml:space="preserve">ATA Sameday LTD </w:t>
      </w:r>
      <w:r w:rsidRPr="002F6D0A">
        <w:t xml:space="preserve"> or a representative of our client at whose premises the services are being rendered or supplied. </w:t>
      </w:r>
    </w:p>
    <w:p w14:paraId="6F07FE25" w14:textId="30357D28" w:rsidR="002F6D0A" w:rsidRPr="002F6D0A" w:rsidRDefault="002F6D0A" w:rsidP="002F6D0A">
      <w:r w:rsidRPr="002F6D0A">
        <w:rPr>
          <w:b/>
          <w:bCs/>
        </w:rPr>
        <w:t xml:space="preserve">Testing process </w:t>
      </w:r>
    </w:p>
    <w:p w14:paraId="20ADD52B" w14:textId="33F578DC" w:rsidR="002F6D0A" w:rsidRPr="002F6D0A" w:rsidRDefault="002F6D0A" w:rsidP="002F6D0A">
      <w:r w:rsidRPr="002F6D0A">
        <w:t xml:space="preserve">All screening tests undertaken by any individual in line with this policy shall be conducted at the expense of </w:t>
      </w:r>
      <w:r w:rsidR="00F02BA1">
        <w:t xml:space="preserve">ATA SAMEDAY </w:t>
      </w:r>
      <w:proofErr w:type="gramStart"/>
      <w:r w:rsidR="00F02BA1">
        <w:t xml:space="preserve">LTD </w:t>
      </w:r>
      <w:r w:rsidRPr="002F6D0A">
        <w:t xml:space="preserve"> by</w:t>
      </w:r>
      <w:proofErr w:type="gramEnd"/>
      <w:r w:rsidRPr="002F6D0A">
        <w:t xml:space="preserve"> a suitably qualified &amp; authorised independent Toxicologist on behalf of the third party appointed by either </w:t>
      </w:r>
      <w:r w:rsidR="00F02BA1">
        <w:t xml:space="preserve">ATA Sameday LTD </w:t>
      </w:r>
      <w:r w:rsidRPr="002F6D0A">
        <w:t xml:space="preserve"> or a client of </w:t>
      </w:r>
      <w:r w:rsidR="00F02BA1">
        <w:t xml:space="preserve">ATA Sameday LTD </w:t>
      </w:r>
      <w:r w:rsidRPr="002F6D0A">
        <w:t xml:space="preserve"> to conduct such screening tests. </w:t>
      </w:r>
    </w:p>
    <w:p w14:paraId="47D792AF" w14:textId="5630A39D" w:rsidR="002F6D0A" w:rsidRPr="002F6D0A" w:rsidRDefault="002F6D0A" w:rsidP="002F6D0A">
      <w:r w:rsidRPr="002F6D0A">
        <w:t xml:space="preserve">Results of all screening tests shall be available to the donor once they are made available to </w:t>
      </w:r>
      <w:r w:rsidR="00F02BA1">
        <w:t xml:space="preserve">ATA Sameday LTD </w:t>
      </w:r>
      <w:r w:rsidRPr="002F6D0A">
        <w:t xml:space="preserve"> </w:t>
      </w:r>
    </w:p>
    <w:p w14:paraId="34232907" w14:textId="0CF30378" w:rsidR="002F6D0A" w:rsidRPr="002F6D0A" w:rsidRDefault="002F6D0A" w:rsidP="002F6D0A">
      <w:r w:rsidRPr="002F6D0A">
        <w:rPr>
          <w:b/>
          <w:bCs/>
        </w:rPr>
        <w:t xml:space="preserve">Non-Negative result </w:t>
      </w:r>
    </w:p>
    <w:p w14:paraId="43E9C922" w14:textId="77777777" w:rsidR="002F6D0A" w:rsidRPr="002F6D0A" w:rsidRDefault="002F6D0A" w:rsidP="002F6D0A">
      <w:r w:rsidRPr="002F6D0A">
        <w:t>Should the result of any screening test undertaken be '</w:t>
      </w:r>
      <w:proofErr w:type="gramStart"/>
      <w:r w:rsidRPr="002F6D0A">
        <w:t>Non-Negative</w:t>
      </w:r>
      <w:proofErr w:type="gramEnd"/>
      <w:r w:rsidRPr="002F6D0A">
        <w:t xml:space="preserve">' any employee shall be immediately suspended from any duties pending an investigation in line with our disciplinary procedure. </w:t>
      </w:r>
    </w:p>
    <w:p w14:paraId="7AD60426" w14:textId="77777777" w:rsidR="002F6D0A" w:rsidRPr="002F6D0A" w:rsidRDefault="002F6D0A" w:rsidP="002F6D0A">
      <w:r w:rsidRPr="002F6D0A">
        <w:t>Should the result of any screening test undertaken be '</w:t>
      </w:r>
      <w:proofErr w:type="gramStart"/>
      <w:r w:rsidRPr="002F6D0A">
        <w:t>Non-Negative</w:t>
      </w:r>
      <w:proofErr w:type="gramEnd"/>
      <w:r w:rsidRPr="002F6D0A">
        <w:t xml:space="preserve">' for any contractor any agreement or contract for services immediately terminated. </w:t>
      </w:r>
    </w:p>
    <w:p w14:paraId="31DCDB33" w14:textId="77777777" w:rsidR="002F6D0A" w:rsidRDefault="002F6D0A" w:rsidP="002F6D0A">
      <w:pPr>
        <w:rPr>
          <w:b/>
          <w:bCs/>
        </w:rPr>
      </w:pPr>
    </w:p>
    <w:p w14:paraId="7F6A2E19" w14:textId="33C89A86" w:rsidR="002F6D0A" w:rsidRPr="00DB64D0" w:rsidRDefault="002F6D0A" w:rsidP="002F6D0A">
      <w:r w:rsidRPr="00DB64D0">
        <w:rPr>
          <w:b/>
          <w:bCs/>
        </w:rPr>
        <w:t xml:space="preserve">Right to appeal </w:t>
      </w:r>
    </w:p>
    <w:p w14:paraId="61747D32" w14:textId="05B7A465" w:rsidR="008554C5" w:rsidRDefault="002F6D0A" w:rsidP="00DB64D0">
      <w:pPr>
        <w:pStyle w:val="Default"/>
      </w:pPr>
      <w:r w:rsidRPr="00DB64D0">
        <w:rPr>
          <w:sz w:val="22"/>
          <w:szCs w:val="22"/>
        </w:rPr>
        <w:t>The donor shall have the right to appeal where in the situation</w:t>
      </w:r>
      <w:r w:rsidR="00DB64D0" w:rsidRPr="00DB64D0">
        <w:rPr>
          <w:sz w:val="22"/>
          <w:szCs w:val="22"/>
        </w:rPr>
        <w:t xml:space="preserve"> that the onsite testing equipment may be defective; samples will then be sent to an approved Laboratory</w:t>
      </w:r>
      <w:r w:rsidR="00DB64D0" w:rsidRPr="00DB64D0">
        <w:rPr>
          <w:sz w:val="20"/>
          <w:szCs w:val="20"/>
        </w:rPr>
        <w:t>.</w:t>
      </w:r>
    </w:p>
    <w:p w14:paraId="087C29E4" w14:textId="1E5FC88D" w:rsidR="002F6D0A" w:rsidRDefault="002F6D0A" w:rsidP="002F6D0A"/>
    <w:p w14:paraId="5B9D8FF4" w14:textId="77777777" w:rsidR="002F6D0A" w:rsidRPr="002F6D0A" w:rsidRDefault="002F6D0A" w:rsidP="002F6D0A"/>
    <w:sectPr w:rsidR="002F6D0A" w:rsidRPr="002F6D0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94761" w14:textId="77777777" w:rsidR="00CB5C70" w:rsidRDefault="00CB5C70" w:rsidP="0013678F">
      <w:pPr>
        <w:spacing w:after="0" w:line="240" w:lineRule="auto"/>
      </w:pPr>
      <w:r>
        <w:separator/>
      </w:r>
    </w:p>
  </w:endnote>
  <w:endnote w:type="continuationSeparator" w:id="0">
    <w:p w14:paraId="1B2BE957" w14:textId="77777777" w:rsidR="00CB5C70" w:rsidRDefault="00CB5C70" w:rsidP="0013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1C14" w14:textId="406C6A34" w:rsidR="00BC5E0B" w:rsidRPr="0013678F" w:rsidRDefault="00932F4E">
    <w:pPr>
      <w:pStyle w:val="Footer"/>
      <w:rPr>
        <w:sz w:val="20"/>
        <w:szCs w:val="20"/>
      </w:rPr>
    </w:pPr>
    <w:r>
      <w:rPr>
        <w:sz w:val="20"/>
        <w:szCs w:val="20"/>
      </w:rPr>
      <w:t>Drug &amp; Alcohol testing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92E5D" w14:textId="77777777" w:rsidR="00CB5C70" w:rsidRDefault="00CB5C70" w:rsidP="0013678F">
      <w:pPr>
        <w:spacing w:after="0" w:line="240" w:lineRule="auto"/>
      </w:pPr>
      <w:r>
        <w:separator/>
      </w:r>
    </w:p>
  </w:footnote>
  <w:footnote w:type="continuationSeparator" w:id="0">
    <w:p w14:paraId="0F272F3F" w14:textId="77777777" w:rsidR="00CB5C70" w:rsidRDefault="00CB5C70" w:rsidP="00136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EEB9" w14:textId="6DF3F28A" w:rsidR="0013678F" w:rsidRDefault="00F02BA1" w:rsidP="0013678F">
    <w:pPr>
      <w:pStyle w:val="Header"/>
      <w:jc w:val="center"/>
    </w:pPr>
    <w:r>
      <w:rPr>
        <w:noProof/>
      </w:rPr>
      <w:drawing>
        <wp:anchor distT="0" distB="0" distL="114300" distR="114300" simplePos="0" relativeHeight="251659264" behindDoc="0" locked="0" layoutInCell="1" allowOverlap="1" wp14:anchorId="42AC98A3" wp14:editId="543093B3">
          <wp:simplePos x="0" y="0"/>
          <wp:positionH relativeFrom="margin">
            <wp:posOffset>2276475</wp:posOffset>
          </wp:positionH>
          <wp:positionV relativeFrom="paragraph">
            <wp:posOffset>-448310</wp:posOffset>
          </wp:positionV>
          <wp:extent cx="1312545" cy="927100"/>
          <wp:effectExtent l="0" t="0" r="1905" b="6350"/>
          <wp:wrapSquare wrapText="bothSides"/>
          <wp:docPr id="454142675"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142675" name="Picture 1" descr="A picture containing text, font, logo,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2545" cy="927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4A7E"/>
    <w:multiLevelType w:val="hybridMultilevel"/>
    <w:tmpl w:val="2C2CE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D37CA"/>
    <w:multiLevelType w:val="hybridMultilevel"/>
    <w:tmpl w:val="DCB2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179BE"/>
    <w:multiLevelType w:val="hybridMultilevel"/>
    <w:tmpl w:val="61DE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875AF"/>
    <w:multiLevelType w:val="hybridMultilevel"/>
    <w:tmpl w:val="F4EC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54624"/>
    <w:multiLevelType w:val="hybridMultilevel"/>
    <w:tmpl w:val="23582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83098"/>
    <w:multiLevelType w:val="hybridMultilevel"/>
    <w:tmpl w:val="05F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87C60"/>
    <w:multiLevelType w:val="hybridMultilevel"/>
    <w:tmpl w:val="CEF6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A5321"/>
    <w:multiLevelType w:val="hybridMultilevel"/>
    <w:tmpl w:val="E776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36ED1"/>
    <w:multiLevelType w:val="hybridMultilevel"/>
    <w:tmpl w:val="245AE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33DFE"/>
    <w:multiLevelType w:val="hybridMultilevel"/>
    <w:tmpl w:val="6AC81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9B520B"/>
    <w:multiLevelType w:val="hybridMultilevel"/>
    <w:tmpl w:val="9184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EA7A97"/>
    <w:multiLevelType w:val="hybridMultilevel"/>
    <w:tmpl w:val="6774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84964"/>
    <w:multiLevelType w:val="hybridMultilevel"/>
    <w:tmpl w:val="9904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32BE6"/>
    <w:multiLevelType w:val="hybridMultilevel"/>
    <w:tmpl w:val="A5FAE7EE"/>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14" w15:restartNumberingAfterBreak="0">
    <w:nsid w:val="2AFA01DA"/>
    <w:multiLevelType w:val="hybridMultilevel"/>
    <w:tmpl w:val="6DF0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A94001"/>
    <w:multiLevelType w:val="hybridMultilevel"/>
    <w:tmpl w:val="3E06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C56A9"/>
    <w:multiLevelType w:val="hybridMultilevel"/>
    <w:tmpl w:val="9D72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A74BF"/>
    <w:multiLevelType w:val="hybridMultilevel"/>
    <w:tmpl w:val="2DD0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F21A4E"/>
    <w:multiLevelType w:val="hybridMultilevel"/>
    <w:tmpl w:val="B354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17867"/>
    <w:multiLevelType w:val="hybridMultilevel"/>
    <w:tmpl w:val="C366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A3051E"/>
    <w:multiLevelType w:val="hybridMultilevel"/>
    <w:tmpl w:val="F2DC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2E0E08"/>
    <w:multiLevelType w:val="hybridMultilevel"/>
    <w:tmpl w:val="FC74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78256B"/>
    <w:multiLevelType w:val="hybridMultilevel"/>
    <w:tmpl w:val="4FA0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3F5853"/>
    <w:multiLevelType w:val="hybridMultilevel"/>
    <w:tmpl w:val="412A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38610F"/>
    <w:multiLevelType w:val="hybridMultilevel"/>
    <w:tmpl w:val="87B6D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43559D"/>
    <w:multiLevelType w:val="hybridMultilevel"/>
    <w:tmpl w:val="6FF0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8A4069"/>
    <w:multiLevelType w:val="hybridMultilevel"/>
    <w:tmpl w:val="7E86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E6012B"/>
    <w:multiLevelType w:val="hybridMultilevel"/>
    <w:tmpl w:val="E3FA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C1133F"/>
    <w:multiLevelType w:val="hybridMultilevel"/>
    <w:tmpl w:val="1668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FA11C5"/>
    <w:multiLevelType w:val="hybridMultilevel"/>
    <w:tmpl w:val="DE1E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3B56E5"/>
    <w:multiLevelType w:val="hybridMultilevel"/>
    <w:tmpl w:val="C81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BA1AA0"/>
    <w:multiLevelType w:val="hybridMultilevel"/>
    <w:tmpl w:val="6000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9B36B5"/>
    <w:multiLevelType w:val="hybridMultilevel"/>
    <w:tmpl w:val="11429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A2228E"/>
    <w:multiLevelType w:val="hybridMultilevel"/>
    <w:tmpl w:val="D290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54441B"/>
    <w:multiLevelType w:val="hybridMultilevel"/>
    <w:tmpl w:val="FF54E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5417AF"/>
    <w:multiLevelType w:val="hybridMultilevel"/>
    <w:tmpl w:val="980A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DA5909"/>
    <w:multiLevelType w:val="hybridMultilevel"/>
    <w:tmpl w:val="DCD0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E0079F"/>
    <w:multiLevelType w:val="hybridMultilevel"/>
    <w:tmpl w:val="28E0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5A157B"/>
    <w:multiLevelType w:val="hybridMultilevel"/>
    <w:tmpl w:val="818A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2976C1"/>
    <w:multiLevelType w:val="hybridMultilevel"/>
    <w:tmpl w:val="2BBE9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167FA5"/>
    <w:multiLevelType w:val="hybridMultilevel"/>
    <w:tmpl w:val="6512C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1F251C"/>
    <w:multiLevelType w:val="hybridMultilevel"/>
    <w:tmpl w:val="9590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901528"/>
    <w:multiLevelType w:val="hybridMultilevel"/>
    <w:tmpl w:val="A33A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98718A"/>
    <w:multiLevelType w:val="hybridMultilevel"/>
    <w:tmpl w:val="09B8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6576948">
    <w:abstractNumId w:val="20"/>
  </w:num>
  <w:num w:numId="2" w16cid:durableId="606353858">
    <w:abstractNumId w:val="18"/>
  </w:num>
  <w:num w:numId="3" w16cid:durableId="1074008497">
    <w:abstractNumId w:val="7"/>
  </w:num>
  <w:num w:numId="4" w16cid:durableId="1819689762">
    <w:abstractNumId w:val="8"/>
  </w:num>
  <w:num w:numId="5" w16cid:durableId="1575049832">
    <w:abstractNumId w:val="23"/>
  </w:num>
  <w:num w:numId="6" w16cid:durableId="1188524313">
    <w:abstractNumId w:val="38"/>
  </w:num>
  <w:num w:numId="7" w16cid:durableId="324747573">
    <w:abstractNumId w:val="11"/>
  </w:num>
  <w:num w:numId="8" w16cid:durableId="1244872799">
    <w:abstractNumId w:val="5"/>
  </w:num>
  <w:num w:numId="9" w16cid:durableId="624963568">
    <w:abstractNumId w:val="42"/>
  </w:num>
  <w:num w:numId="10" w16cid:durableId="940263919">
    <w:abstractNumId w:val="36"/>
  </w:num>
  <w:num w:numId="11" w16cid:durableId="599921762">
    <w:abstractNumId w:val="33"/>
  </w:num>
  <w:num w:numId="12" w16cid:durableId="14156156">
    <w:abstractNumId w:val="26"/>
  </w:num>
  <w:num w:numId="13" w16cid:durableId="1529563219">
    <w:abstractNumId w:val="10"/>
  </w:num>
  <w:num w:numId="14" w16cid:durableId="403263259">
    <w:abstractNumId w:val="21"/>
  </w:num>
  <w:num w:numId="15" w16cid:durableId="1049919117">
    <w:abstractNumId w:val="43"/>
  </w:num>
  <w:num w:numId="16" w16cid:durableId="1580673038">
    <w:abstractNumId w:val="6"/>
  </w:num>
  <w:num w:numId="17" w16cid:durableId="1547840443">
    <w:abstractNumId w:val="28"/>
  </w:num>
  <w:num w:numId="18" w16cid:durableId="1964387749">
    <w:abstractNumId w:val="31"/>
  </w:num>
  <w:num w:numId="19" w16cid:durableId="774208213">
    <w:abstractNumId w:val="29"/>
  </w:num>
  <w:num w:numId="20" w16cid:durableId="1813329015">
    <w:abstractNumId w:val="41"/>
  </w:num>
  <w:num w:numId="21" w16cid:durableId="1380667426">
    <w:abstractNumId w:val="34"/>
  </w:num>
  <w:num w:numId="22" w16cid:durableId="1328050940">
    <w:abstractNumId w:val="9"/>
  </w:num>
  <w:num w:numId="23" w16cid:durableId="178277657">
    <w:abstractNumId w:val="1"/>
  </w:num>
  <w:num w:numId="24" w16cid:durableId="1411734778">
    <w:abstractNumId w:val="40"/>
  </w:num>
  <w:num w:numId="25" w16cid:durableId="1745833742">
    <w:abstractNumId w:val="12"/>
  </w:num>
  <w:num w:numId="26" w16cid:durableId="913053152">
    <w:abstractNumId w:val="25"/>
  </w:num>
  <w:num w:numId="27" w16cid:durableId="2088307270">
    <w:abstractNumId w:val="14"/>
  </w:num>
  <w:num w:numId="28" w16cid:durableId="1651132637">
    <w:abstractNumId w:val="16"/>
  </w:num>
  <w:num w:numId="29" w16cid:durableId="1919288253">
    <w:abstractNumId w:val="15"/>
  </w:num>
  <w:num w:numId="30" w16cid:durableId="1215314205">
    <w:abstractNumId w:val="37"/>
  </w:num>
  <w:num w:numId="31" w16cid:durableId="809370937">
    <w:abstractNumId w:val="4"/>
  </w:num>
  <w:num w:numId="32" w16cid:durableId="2042971951">
    <w:abstractNumId w:val="24"/>
  </w:num>
  <w:num w:numId="33" w16cid:durableId="1343043642">
    <w:abstractNumId w:val="0"/>
  </w:num>
  <w:num w:numId="34" w16cid:durableId="725253122">
    <w:abstractNumId w:val="30"/>
  </w:num>
  <w:num w:numId="35" w16cid:durableId="1445690016">
    <w:abstractNumId w:val="35"/>
  </w:num>
  <w:num w:numId="36" w16cid:durableId="1581528044">
    <w:abstractNumId w:val="27"/>
  </w:num>
  <w:num w:numId="37" w16cid:durableId="531891372">
    <w:abstractNumId w:val="39"/>
  </w:num>
  <w:num w:numId="38" w16cid:durableId="218632520">
    <w:abstractNumId w:val="19"/>
  </w:num>
  <w:num w:numId="39" w16cid:durableId="2100783251">
    <w:abstractNumId w:val="13"/>
  </w:num>
  <w:num w:numId="40" w16cid:durableId="1192299434">
    <w:abstractNumId w:val="2"/>
  </w:num>
  <w:num w:numId="41" w16cid:durableId="253976357">
    <w:abstractNumId w:val="22"/>
  </w:num>
  <w:num w:numId="42" w16cid:durableId="936183">
    <w:abstractNumId w:val="17"/>
  </w:num>
  <w:num w:numId="43" w16cid:durableId="115876312">
    <w:abstractNumId w:val="3"/>
  </w:num>
  <w:num w:numId="44" w16cid:durableId="182435032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78F"/>
    <w:rsid w:val="00020B83"/>
    <w:rsid w:val="00036302"/>
    <w:rsid w:val="000744A7"/>
    <w:rsid w:val="00086CD8"/>
    <w:rsid w:val="000B13CF"/>
    <w:rsid w:val="0013678F"/>
    <w:rsid w:val="00141980"/>
    <w:rsid w:val="001504D3"/>
    <w:rsid w:val="00150801"/>
    <w:rsid w:val="0015493F"/>
    <w:rsid w:val="0022036E"/>
    <w:rsid w:val="002F6D0A"/>
    <w:rsid w:val="003F041D"/>
    <w:rsid w:val="004053A9"/>
    <w:rsid w:val="004374E6"/>
    <w:rsid w:val="00451CB2"/>
    <w:rsid w:val="004D2771"/>
    <w:rsid w:val="004D4513"/>
    <w:rsid w:val="00506071"/>
    <w:rsid w:val="00506BB2"/>
    <w:rsid w:val="00507160"/>
    <w:rsid w:val="00522F2E"/>
    <w:rsid w:val="00534583"/>
    <w:rsid w:val="00575C06"/>
    <w:rsid w:val="00583012"/>
    <w:rsid w:val="005C0884"/>
    <w:rsid w:val="00601159"/>
    <w:rsid w:val="00602E0D"/>
    <w:rsid w:val="00626A42"/>
    <w:rsid w:val="00684EE3"/>
    <w:rsid w:val="006A6EAD"/>
    <w:rsid w:val="006D26A5"/>
    <w:rsid w:val="006D2C0A"/>
    <w:rsid w:val="006D7266"/>
    <w:rsid w:val="006F6FB1"/>
    <w:rsid w:val="0070687B"/>
    <w:rsid w:val="00757933"/>
    <w:rsid w:val="00781E36"/>
    <w:rsid w:val="007F6EFC"/>
    <w:rsid w:val="00802EDD"/>
    <w:rsid w:val="00817109"/>
    <w:rsid w:val="00834768"/>
    <w:rsid w:val="008554C5"/>
    <w:rsid w:val="008A0789"/>
    <w:rsid w:val="008B58D8"/>
    <w:rsid w:val="008D353B"/>
    <w:rsid w:val="008D664B"/>
    <w:rsid w:val="00932F4E"/>
    <w:rsid w:val="00974F6A"/>
    <w:rsid w:val="00984A2F"/>
    <w:rsid w:val="00986C38"/>
    <w:rsid w:val="009B2FF4"/>
    <w:rsid w:val="009F3D1E"/>
    <w:rsid w:val="00A336ED"/>
    <w:rsid w:val="00A34EC6"/>
    <w:rsid w:val="00A53533"/>
    <w:rsid w:val="00A64A69"/>
    <w:rsid w:val="00A6732B"/>
    <w:rsid w:val="00AA4F4D"/>
    <w:rsid w:val="00AD213B"/>
    <w:rsid w:val="00AE4069"/>
    <w:rsid w:val="00B45F79"/>
    <w:rsid w:val="00B4728A"/>
    <w:rsid w:val="00B5112F"/>
    <w:rsid w:val="00B73260"/>
    <w:rsid w:val="00BC5E0B"/>
    <w:rsid w:val="00C24214"/>
    <w:rsid w:val="00CB5C70"/>
    <w:rsid w:val="00CE3373"/>
    <w:rsid w:val="00D04EC2"/>
    <w:rsid w:val="00D33BFE"/>
    <w:rsid w:val="00D70122"/>
    <w:rsid w:val="00D7103A"/>
    <w:rsid w:val="00DA21D2"/>
    <w:rsid w:val="00DB0D60"/>
    <w:rsid w:val="00DB2996"/>
    <w:rsid w:val="00DB64D0"/>
    <w:rsid w:val="00E02D98"/>
    <w:rsid w:val="00EA10F6"/>
    <w:rsid w:val="00F02BA1"/>
    <w:rsid w:val="00F07063"/>
    <w:rsid w:val="00F75C4D"/>
    <w:rsid w:val="00F8412B"/>
    <w:rsid w:val="00F939A1"/>
    <w:rsid w:val="00FB7440"/>
    <w:rsid w:val="00FD1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7F3EB"/>
  <w15:docId w15:val="{3970B43C-A454-4E7A-8B35-332C96CA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78F"/>
  </w:style>
  <w:style w:type="paragraph" w:styleId="Footer">
    <w:name w:val="footer"/>
    <w:basedOn w:val="Normal"/>
    <w:link w:val="FooterChar"/>
    <w:uiPriority w:val="99"/>
    <w:unhideWhenUsed/>
    <w:rsid w:val="00136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78F"/>
  </w:style>
  <w:style w:type="paragraph" w:styleId="ListParagraph">
    <w:name w:val="List Paragraph"/>
    <w:basedOn w:val="Normal"/>
    <w:uiPriority w:val="34"/>
    <w:qFormat/>
    <w:rsid w:val="00B45F79"/>
    <w:pPr>
      <w:ind w:left="720"/>
      <w:contextualSpacing/>
    </w:pPr>
  </w:style>
  <w:style w:type="table" w:styleId="TableGrid">
    <w:name w:val="Table Grid"/>
    <w:basedOn w:val="TableNormal"/>
    <w:uiPriority w:val="39"/>
    <w:rsid w:val="0098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440"/>
    <w:rPr>
      <w:color w:val="0563C1" w:themeColor="hyperlink"/>
      <w:u w:val="single"/>
    </w:rPr>
  </w:style>
  <w:style w:type="character" w:styleId="FollowedHyperlink">
    <w:name w:val="FollowedHyperlink"/>
    <w:basedOn w:val="DefaultParagraphFont"/>
    <w:uiPriority w:val="99"/>
    <w:semiHidden/>
    <w:unhideWhenUsed/>
    <w:rsid w:val="009F3D1E"/>
    <w:rPr>
      <w:color w:val="954F72" w:themeColor="followedHyperlink"/>
      <w:u w:val="single"/>
    </w:rPr>
  </w:style>
  <w:style w:type="character" w:customStyle="1" w:styleId="UnresolvedMention1">
    <w:name w:val="Unresolved Mention1"/>
    <w:basedOn w:val="DefaultParagraphFont"/>
    <w:uiPriority w:val="99"/>
    <w:semiHidden/>
    <w:unhideWhenUsed/>
    <w:rsid w:val="008554C5"/>
    <w:rPr>
      <w:color w:val="605E5C"/>
      <w:shd w:val="clear" w:color="auto" w:fill="E1DFDD"/>
    </w:rPr>
  </w:style>
  <w:style w:type="paragraph" w:styleId="BalloonText">
    <w:name w:val="Balloon Text"/>
    <w:basedOn w:val="Normal"/>
    <w:link w:val="BalloonTextChar"/>
    <w:uiPriority w:val="99"/>
    <w:semiHidden/>
    <w:unhideWhenUsed/>
    <w:rsid w:val="00F75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C4D"/>
    <w:rPr>
      <w:rFonts w:ascii="Tahoma" w:hAnsi="Tahoma" w:cs="Tahoma"/>
      <w:sz w:val="16"/>
      <w:szCs w:val="16"/>
    </w:rPr>
  </w:style>
  <w:style w:type="character" w:styleId="UnresolvedMention">
    <w:name w:val="Unresolved Mention"/>
    <w:basedOn w:val="DefaultParagraphFont"/>
    <w:uiPriority w:val="99"/>
    <w:semiHidden/>
    <w:unhideWhenUsed/>
    <w:rsid w:val="006A6EAD"/>
    <w:rPr>
      <w:color w:val="605E5C"/>
      <w:shd w:val="clear" w:color="auto" w:fill="E1DFDD"/>
    </w:rPr>
  </w:style>
  <w:style w:type="paragraph" w:customStyle="1" w:styleId="Default">
    <w:name w:val="Default"/>
    <w:rsid w:val="002F6D0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2789">
      <w:bodyDiv w:val="1"/>
      <w:marLeft w:val="0"/>
      <w:marRight w:val="0"/>
      <w:marTop w:val="0"/>
      <w:marBottom w:val="0"/>
      <w:divBdr>
        <w:top w:val="none" w:sz="0" w:space="0" w:color="auto"/>
        <w:left w:val="none" w:sz="0" w:space="0" w:color="auto"/>
        <w:bottom w:val="none" w:sz="0" w:space="0" w:color="auto"/>
        <w:right w:val="none" w:sz="0" w:space="0" w:color="auto"/>
      </w:divBdr>
    </w:div>
    <w:div w:id="717168197">
      <w:bodyDiv w:val="1"/>
      <w:marLeft w:val="0"/>
      <w:marRight w:val="0"/>
      <w:marTop w:val="0"/>
      <w:marBottom w:val="0"/>
      <w:divBdr>
        <w:top w:val="none" w:sz="0" w:space="0" w:color="auto"/>
        <w:left w:val="none" w:sz="0" w:space="0" w:color="auto"/>
        <w:bottom w:val="none" w:sz="0" w:space="0" w:color="auto"/>
        <w:right w:val="none" w:sz="0" w:space="0" w:color="auto"/>
      </w:divBdr>
    </w:div>
    <w:div w:id="751051290">
      <w:bodyDiv w:val="1"/>
      <w:marLeft w:val="0"/>
      <w:marRight w:val="0"/>
      <w:marTop w:val="0"/>
      <w:marBottom w:val="0"/>
      <w:divBdr>
        <w:top w:val="none" w:sz="0" w:space="0" w:color="auto"/>
        <w:left w:val="none" w:sz="0" w:space="0" w:color="auto"/>
        <w:bottom w:val="none" w:sz="0" w:space="0" w:color="auto"/>
        <w:right w:val="none" w:sz="0" w:space="0" w:color="auto"/>
      </w:divBdr>
    </w:div>
    <w:div w:id="961880205">
      <w:bodyDiv w:val="1"/>
      <w:marLeft w:val="0"/>
      <w:marRight w:val="0"/>
      <w:marTop w:val="0"/>
      <w:marBottom w:val="0"/>
      <w:divBdr>
        <w:top w:val="none" w:sz="0" w:space="0" w:color="auto"/>
        <w:left w:val="none" w:sz="0" w:space="0" w:color="auto"/>
        <w:bottom w:val="none" w:sz="0" w:space="0" w:color="auto"/>
        <w:right w:val="none" w:sz="0" w:space="0" w:color="auto"/>
      </w:divBdr>
    </w:div>
    <w:div w:id="16863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A1689-3DAA-4943-A0B3-43510652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Austin</dc:creator>
  <cp:lastModifiedBy>ATA Logistics</cp:lastModifiedBy>
  <cp:revision>2</cp:revision>
  <cp:lastPrinted>2021-03-17T14:25:00Z</cp:lastPrinted>
  <dcterms:created xsi:type="dcterms:W3CDTF">2023-06-12T14:33:00Z</dcterms:created>
  <dcterms:modified xsi:type="dcterms:W3CDTF">2023-06-12T14:33:00Z</dcterms:modified>
</cp:coreProperties>
</file>